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雀鳝 文献研究摘要</w:t>
      </w:r>
    </w:p>
    <w:p>
      <w:pPr>
        <w:pStyle w:val="Subtitle"/>
      </w:pPr>
      <w:r>
        <w:t>Gar Research summaries</w:t>
      </w:r>
    </w:p>
    <w:p>
      <w:pPr>
        <w:keepNext/>
      </w:pPr>
      <w:r>
        <w:t>本文件汇集与雀鳝相关的2篇文献，涵盖Nature, PNAS。每篇列出主要发现、结论、证据范围与可追溯引文，供演化展陈及后续阅读使用。</w:t>
      </w:r>
    </w:p>
    <w:p>
      <w:r>
        <w:t>This document brings together 2 publications relevant to Gar, covering Nature, PNAS. Each entry provides findings, conclusions, the evidence reviewed and traceable citations for the evolution exhibit and further reading.</w:t>
      </w:r>
    </w:p>
    <w:p>
      <w:pPr>
        <w:pStyle w:val="SourceMetadata"/>
      </w:pPr>
      <w:r>
        <w:t xml:space="preserve">资料日期 / Compiled 31 October 2026   </w:t>
      </w:r>
      <w:hyperlink r:id="rId9">
        <w:r>
          <w:rPr>
            <w:color w:val="16516A"/>
          </w:rPr>
          <w:t>本地百科 / Local wiki</w:t>
        </w:r>
      </w:hyperlink>
    </w:p>
    <w:p>
      <w:pPr>
        <w:pStyle w:val="Heading1"/>
      </w:pPr>
      <w:r>
        <w:t>鉴定与文献范围 Identification and scope</w:t>
      </w:r>
    </w:p>
    <w:p>
      <w:pPr>
        <w:keepNext/>
      </w:pPr>
      <w:r>
        <w:t>清单中使用广义类群名称时，所选文献可涉及该类群的代表物种。</w:t>
      </w:r>
    </w:p>
    <w:p>
      <w:r>
        <w:t>Selected for evolutionary history, comparative anatomy, or genomic evidence relevant to the listed species/group.</w:t>
      </w:r>
    </w:p>
    <w:p>
      <w:pPr>
        <w:pStyle w:val="SourceMetadata"/>
      </w:pPr>
      <w:hyperlink r:id="rId10">
        <w:r>
          <w:rPr>
            <w:color w:val="16516A"/>
          </w:rPr>
          <w:t>扩展检索记录 / Expanded search record</w:t>
        </w:r>
      </w:hyperlink>
    </w:p>
    <w:p>
      <w:pPr>
        <w:pStyle w:val="SourceMetadata"/>
        <w:keepNext/>
      </w:pPr>
      <w:r>
        <w:t>中文题名及解读为本资料集译写；英文原题保留出版物措辞。摘要依据的总结不能替代全文的方法与限制。</w:t>
      </w:r>
    </w:p>
    <w:p>
      <w:pPr>
        <w:pStyle w:val="SourceMetadata"/>
      </w:pPr>
      <w:r>
        <w:t>Chinese titles and interpretations are translations prepared for this collection; English titles retain the source wording. Abstract-based summaries do not replace full methods and limitations.</w:t>
      </w:r>
    </w:p>
    <w:p>
      <w:pPr>
        <w:pStyle w:val="Heading1"/>
      </w:pPr>
      <w:r>
        <w:t>文献发现与结论 Publication findings and conclusions</w:t>
      </w:r>
    </w:p>
    <w:p>
      <w:pPr>
        <w:pStyle w:val="Heading2"/>
      </w:pPr>
      <w:r>
        <w:t>文献 1 Publication 1</w:t>
      </w:r>
    </w:p>
    <w:p>
      <w:pPr>
        <w:keepNext/>
      </w:pPr>
      <w:r>
        <w:rPr>
          <w:b/>
        </w:rPr>
        <w:t>斑点雀鳝基因组揭示脊椎动物演化并促进人类与真骨鱼类的比较</w:t>
      </w:r>
    </w:p>
    <w:p>
      <w:pPr>
        <w:keepNext/>
      </w:pPr>
      <w:r>
        <w:t>The spotted gar genome illuminates vertebrate evolution and facilitates human-teleost comparisons</w:t>
      </w:r>
    </w:p>
    <w:p>
      <w:pPr>
        <w:pStyle w:val="SourceMetadata"/>
      </w:pPr>
      <w:r>
        <w:t>Braasch I,  Gehrke AR,  Smith JJ et al. · 2016 · Nature genetics</w:t>
      </w:r>
    </w:p>
    <w:p>
      <w:pPr>
        <w:pStyle w:val="SourceMetadata"/>
      </w:pPr>
      <w:hyperlink r:id="rId11">
        <w:r>
          <w:rPr>
            <w:color w:val="16516A"/>
          </w:rPr>
          <w:t>DOI 10.1038/ng.3526</w:t>
        </w:r>
      </w:hyperlink>
      <w:r>
        <w:t xml:space="preserve">   </w:t>
      </w:r>
      <w:hyperlink r:id="rId12">
        <w:r>
          <w:rPr>
            <w:color w:val="16516A"/>
          </w:rPr>
          <w:t>出版页 / Publisher</w:t>
        </w:r>
      </w:hyperlink>
    </w:p>
    <w:p>
      <w:pPr>
        <w:pStyle w:val="SourceMetadata"/>
      </w:pPr>
      <w:hyperlink r:id="rId13">
        <w:r>
          <w:rPr>
            <w:color w:val="16516A"/>
          </w:rPr>
          <w:t>本地全文 / Local full text</w:t>
        </w:r>
      </w:hyperlink>
      <w:r>
        <w:t xml:space="preserve">   </w:t>
      </w:r>
      <w:hyperlink r:id="rId14">
        <w:r>
          <w:rPr>
            <w:color w:val="16516A"/>
          </w:rPr>
          <w:t>摘要 / Abstract</w:t>
        </w:r>
      </w:hyperlink>
    </w:p>
    <w:p>
      <w:pPr>
        <w:pStyle w:val="SourceMetadata"/>
      </w:pPr>
      <w:r>
        <w:t>依据索引收录的作者摘要概括。 Summary based on the indexed author abstract.</w:t>
      </w:r>
    </w:p>
    <w:p>
      <w:pPr>
        <w:pStyle w:val="Heading3"/>
      </w:pPr>
      <w:r>
        <w:t>主要发现 Key findings</w:t>
      </w:r>
    </w:p>
    <w:p>
      <w:pPr>
        <w:keepNext/>
      </w:pPr>
      <w:r>
        <w:t>缓慢演化的雀鳝基因组保留祖先染色体结构，并揭示在人与真骨鱼直接比较中难以识别的保守调控序列。</w:t>
      </w:r>
    </w:p>
    <w:p>
      <w:r>
        <w:t>The slowly evolving gar genome retains ancestral chromosome structures and reveals conserved regulatory elements obscured in direct human–teleost comparisons.</w:t>
      </w:r>
    </w:p>
    <w:p>
      <w:pPr>
        <w:pStyle w:val="Heading3"/>
      </w:pPr>
      <w:r>
        <w:t>结论 Conclusions</w:t>
      </w:r>
    </w:p>
    <w:p>
      <w:pPr>
        <w:keepNext/>
      </w:pPr>
      <w:r>
        <w:t>雀鳝提供全基因组复制前的参照，有助于理解真骨鱼基因分工及人类调控元件。</w:t>
      </w:r>
    </w:p>
    <w:p>
      <w:r>
        <w:t>Gar provides a pre-duplication reference for interpreting teleost gene partitioning and human regulatory elements.</w:t>
      </w:r>
    </w:p>
    <w:p>
      <w:pPr>
        <w:pStyle w:val="Heading2"/>
      </w:pPr>
      <w:r>
        <w:t>文献 2 Publication 2</w:t>
      </w:r>
    </w:p>
    <w:p>
      <w:pPr>
        <w:keepNext/>
      </w:pPr>
      <w:r>
        <w:rPr>
          <w:b/>
        </w:rPr>
        <w:t>鱼类腕部与指部增强子的深度保守性</w:t>
      </w:r>
    </w:p>
    <w:p>
      <w:pPr>
        <w:keepNext/>
      </w:pPr>
      <w:r>
        <w:t>Deep conservation of wrist and digit enhancers in fish.</w:t>
      </w:r>
    </w:p>
    <w:p>
      <w:pPr>
        <w:pStyle w:val="SourceMetadata"/>
      </w:pPr>
      <w:r>
        <w:t>Gehrke AR, Schneider I, de la Calle-Mustienes E, Tena JJ, Gomez-Marin C, Chandran M, Nakamura T, Braasch I, Postlethwait JH, Gómez-Skarmeta JL, Shubin NH. · 2015 · Proceedings of the National Academy of Sciences of the United States of America</w:t>
      </w:r>
    </w:p>
    <w:p>
      <w:pPr>
        <w:pStyle w:val="SourceMetadata"/>
      </w:pPr>
      <w:hyperlink r:id="rId15">
        <w:r>
          <w:rPr>
            <w:color w:val="16516A"/>
          </w:rPr>
          <w:t>DOI 10.1073/pnas.1420208112</w:t>
        </w:r>
      </w:hyperlink>
      <w:r>
        <w:t xml:space="preserve">   </w:t>
      </w:r>
      <w:hyperlink r:id="rId16">
        <w:r>
          <w:rPr>
            <w:color w:val="16516A"/>
          </w:rPr>
          <w:t>出版页 / Publisher</w:t>
        </w:r>
      </w:hyperlink>
    </w:p>
    <w:p>
      <w:pPr>
        <w:pStyle w:val="SourceMetadata"/>
      </w:pPr>
      <w:hyperlink r:id="rId17">
        <w:r>
          <w:rPr>
            <w:color w:val="16516A"/>
          </w:rPr>
          <w:t>本地全文 / Local full text</w:t>
        </w:r>
      </w:hyperlink>
      <w:r>
        <w:t xml:space="preserve">   </w:t>
      </w:r>
      <w:hyperlink r:id="rId18">
        <w:r>
          <w:rPr>
            <w:color w:val="16516A"/>
          </w:rPr>
          <w:t>摘要 / Abstract</w:t>
        </w:r>
      </w:hyperlink>
    </w:p>
    <w:p>
      <w:pPr>
        <w:pStyle w:val="SourceMetadata"/>
      </w:pPr>
      <w:r>
        <w:t>摘要解读依据已查看的索引作者摘要；如已保存全文，可用于进一步阅读。 Summary based on the inspected indexed author abstract; archived full text, when available, is provided for further reading.</w:t>
      </w:r>
    </w:p>
    <w:p>
      <w:pPr>
        <w:pStyle w:val="Heading3"/>
      </w:pPr>
      <w:r>
        <w:t>主要发现 Key findings</w:t>
      </w:r>
    </w:p>
    <w:p>
      <w:pPr>
        <w:keepNext/>
      </w:pPr>
      <w:r>
        <w:t>功能基因组实验在斑点雀鳝及斑马鱼中识别出 HoxA 和 HoxD 增强子。雀鳝序列能在小鼠腕部与手指区域驱动与小鼠增强子近似的表达，鱼类增强子也在胸鳍远端发挥作用。</w:t>
      </w:r>
    </w:p>
    <w:p>
      <w:r>
        <w:t>Functional genomic assays identified HoxA and HoxD enhancers in spotted gar and zebrafish. Gar sequences drove reporter expression in mouse wrist and digit regions closely resembling mouse enhancer activity, while fish enhancers also acted in distal pectoral fins.</w:t>
      </w:r>
    </w:p>
    <w:p>
      <w:pPr>
        <w:pStyle w:val="Heading3"/>
      </w:pPr>
      <w:r>
        <w:t>结论 Conclusions</w:t>
      </w:r>
    </w:p>
    <w:p>
      <w:pPr>
        <w:keepNext/>
      </w:pPr>
      <w:r>
        <w:t>结果支持附肢远端调控机制的深度保守性，并与硬骨鱼远端辐状骨和四足动物腕部或指部结构同源的假说一致。</w:t>
      </w:r>
    </w:p>
    <w:p>
      <w:r>
        <w:t>The findings support deep conservation of distal-appendage regulatory machinery and are consistent with homology between bony fish distal radials and tetrapod wrist or digit structures.</w:t>
      </w:r>
    </w:p>
    <w:sectPr w:rsidR="00FC693F" w:rsidRPr="0006063C" w:rsidSect="00034616">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9" w:lineRule="auto"/>
    </w:pPr>
    <w:rPr>
      <w:rFonts w:ascii="Arial" w:hAnsi="Arial" w:eastAsia="Arial Unicode MS"/>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Unicode MS"/>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Unicode M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Arial" w:hAnsi="Arial" w:eastAsia="Arial Unicode MS"/>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eastAsia="Arial Unicode MS"/>
      <w:b w:val="0"/>
      <w:i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ial" w:hAnsi="Arial" w:eastAsia="Arial Unicode MS"/>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Metadata">
    <w:name w:val="Source Metadata"/>
    <w:pPr>
      <w:spacing w:after="100" w:line="259" w:lineRule="auto"/>
    </w:pPr>
    <w:rPr>
      <w:rFonts w:ascii="Arial" w:hAnsi="Arial" w:eastAsia="Arial Unicode MS"/>
      <w:b w:val="0"/>
      <w:i w:val="0"/>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Wikipedia/index.html" TargetMode="External"/><Relationship Id="rId10" Type="http://schemas.openxmlformats.org/officeDocument/2006/relationships/hyperlink" Target="https://www.ebi.ac.uk/europepmc/webservices/rest/search?query=%28JOURNAL%3A%22Proc+Natl+Acad+Sci+U+S+A%22+OR+JOURNAL%3AScience+OR+JOURNAL%3A%22Sci+Adv%22%29+AND+%28%28gar+OR+Lepisosteus%29%29+sort_cited%3Ay&amp;format=json&amp;resultType=core&amp;pageSize=30" TargetMode="External"/><Relationship Id="rId11" Type="http://schemas.openxmlformats.org/officeDocument/2006/relationships/hyperlink" Target="https://doi.org/10.1038/ng.3526" TargetMode="External"/><Relationship Id="rId12" Type="http://schemas.openxmlformats.org/officeDocument/2006/relationships/hyperlink" Target="https://www.nature.com/articles/ng.3526" TargetMode="External"/><Relationship Id="rId13" Type="http://schemas.openxmlformats.org/officeDocument/2006/relationships/hyperlink" Target="ng.3526.pdf" TargetMode="External"/><Relationship Id="rId14" Type="http://schemas.openxmlformats.org/officeDocument/2006/relationships/hyperlink" Target="Literature/NatureAbstracts/ng.3526_abstract.txt" TargetMode="External"/><Relationship Id="rId15" Type="http://schemas.openxmlformats.org/officeDocument/2006/relationships/hyperlink" Target="https://doi.org/10.1073/pnas.1420208112" TargetMode="External"/><Relationship Id="rId16" Type="http://schemas.openxmlformats.org/officeDocument/2006/relationships/hyperlink" Target="https://www.pnas.org/doi/10.1073/pnas.1420208112" TargetMode="External"/><Relationship Id="rId17" Type="http://schemas.openxmlformats.org/officeDocument/2006/relationships/hyperlink" Target="Literature/10.1073_pnas.1420208112_fulltext.html" TargetMode="External"/><Relationship Id="rId18" Type="http://schemas.openxmlformats.org/officeDocument/2006/relationships/hyperlink" Target="Literature/10.1073_pnas.1420208112_abstract.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雀鳝 文献研究摘要 Research summaries</dc:title>
  <dc:subject>Bilingual evolutionary literature collection</dc:subject>
  <dc:creator>Deep Time Research Library</dc:creator>
  <cp:keywords/>
  <dc:description>generated by python-docx</dc:description>
  <cp:lastModifiedBy/>
  <cp:revision>1</cp:revision>
  <dcterms:created xsi:type="dcterms:W3CDTF">2013-12-23T23:15:00Z</dcterms:created>
  <dcterms:modified xsi:type="dcterms:W3CDTF">2013-12-23T23:15:00Z</dcterms:modified>
  <cp:category/>
</cp:coreProperties>
</file>